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BA" w:rsidRPr="00B12D33" w:rsidRDefault="00B12D33"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265D02">
        <w:rPr>
          <w:rFonts w:ascii="Arial" w:hAnsi="Arial" w:cs="Arial"/>
          <w:bCs/>
          <w:spacing w:val="-3"/>
          <w:sz w:val="22"/>
          <w:szCs w:val="22"/>
        </w:rPr>
        <w:t>In Queensland</w:t>
      </w:r>
      <w:r w:rsidRPr="00B822D2">
        <w:rPr>
          <w:rFonts w:ascii="Arial" w:hAnsi="Arial" w:cs="Arial"/>
          <w:bCs/>
          <w:spacing w:val="-3"/>
          <w:sz w:val="22"/>
          <w:szCs w:val="22"/>
        </w:rPr>
        <w:t xml:space="preserve"> the </w:t>
      </w:r>
      <w:r w:rsidRPr="00B822D2">
        <w:rPr>
          <w:rFonts w:ascii="Arial" w:hAnsi="Arial" w:cs="Arial"/>
          <w:bCs/>
          <w:i/>
          <w:spacing w:val="-3"/>
          <w:sz w:val="22"/>
          <w:szCs w:val="22"/>
        </w:rPr>
        <w:t xml:space="preserve">Integrated Planning Act 1997 </w:t>
      </w:r>
      <w:r w:rsidRPr="00B822D2">
        <w:rPr>
          <w:rFonts w:ascii="Arial" w:hAnsi="Arial" w:cs="Arial"/>
          <w:bCs/>
          <w:spacing w:val="-3"/>
          <w:sz w:val="22"/>
          <w:szCs w:val="22"/>
        </w:rPr>
        <w:t>(</w:t>
      </w:r>
      <w:smartTag w:uri="urn:schemas-microsoft-com:office:smarttags" w:element="stockticker">
        <w:r w:rsidRPr="00B822D2">
          <w:rPr>
            <w:rFonts w:ascii="Arial" w:hAnsi="Arial" w:cs="Arial"/>
            <w:bCs/>
            <w:spacing w:val="-3"/>
            <w:sz w:val="22"/>
            <w:szCs w:val="22"/>
          </w:rPr>
          <w:t>IPA</w:t>
        </w:r>
      </w:smartTag>
      <w:r w:rsidRPr="00B822D2">
        <w:rPr>
          <w:rFonts w:ascii="Arial" w:hAnsi="Arial" w:cs="Arial"/>
          <w:bCs/>
          <w:spacing w:val="-3"/>
          <w:sz w:val="22"/>
          <w:szCs w:val="22"/>
        </w:rPr>
        <w:t xml:space="preserve">) established </w:t>
      </w:r>
      <w:r w:rsidR="00481BE7" w:rsidRPr="00B822D2">
        <w:rPr>
          <w:rFonts w:ascii="Arial" w:hAnsi="Arial" w:cs="Arial"/>
          <w:bCs/>
          <w:spacing w:val="-3"/>
          <w:sz w:val="22"/>
          <w:szCs w:val="22"/>
        </w:rPr>
        <w:t xml:space="preserve">the Integrated Development Assessment System (IDAS), which provides </w:t>
      </w:r>
      <w:r w:rsidRPr="00B822D2">
        <w:rPr>
          <w:rFonts w:ascii="Arial" w:hAnsi="Arial" w:cs="Arial"/>
          <w:bCs/>
          <w:spacing w:val="-3"/>
          <w:sz w:val="22"/>
          <w:szCs w:val="22"/>
        </w:rPr>
        <w:t xml:space="preserve">a consistent State-wide approach to manage development assessment processes, and established timeframes for each stage of assessment. However, </w:t>
      </w:r>
      <w:r w:rsidR="00AC6B09">
        <w:rPr>
          <w:rFonts w:ascii="Arial" w:hAnsi="Arial" w:cs="Arial"/>
          <w:bCs/>
          <w:spacing w:val="-3"/>
          <w:sz w:val="22"/>
          <w:szCs w:val="22"/>
        </w:rPr>
        <w:t xml:space="preserve">previously </w:t>
      </w:r>
      <w:r w:rsidRPr="00B822D2">
        <w:rPr>
          <w:rFonts w:ascii="Arial" w:hAnsi="Arial" w:cs="Arial"/>
          <w:bCs/>
          <w:spacing w:val="-3"/>
          <w:sz w:val="22"/>
          <w:szCs w:val="22"/>
        </w:rPr>
        <w:t xml:space="preserve">there </w:t>
      </w:r>
      <w:r w:rsidR="00AC6B09">
        <w:rPr>
          <w:rFonts w:ascii="Arial" w:hAnsi="Arial" w:cs="Arial"/>
          <w:bCs/>
          <w:spacing w:val="-3"/>
          <w:sz w:val="22"/>
          <w:szCs w:val="22"/>
        </w:rPr>
        <w:t>ha</w:t>
      </w:r>
      <w:r w:rsidRPr="00B822D2">
        <w:rPr>
          <w:rFonts w:ascii="Arial" w:hAnsi="Arial" w:cs="Arial"/>
          <w:bCs/>
          <w:spacing w:val="-3"/>
          <w:sz w:val="22"/>
          <w:szCs w:val="22"/>
        </w:rPr>
        <w:t>s no</w:t>
      </w:r>
      <w:r w:rsidR="00AC6B09">
        <w:rPr>
          <w:rFonts w:ascii="Arial" w:hAnsi="Arial" w:cs="Arial"/>
          <w:bCs/>
          <w:spacing w:val="-3"/>
          <w:sz w:val="22"/>
          <w:szCs w:val="22"/>
        </w:rPr>
        <w:t>t been a</w:t>
      </w:r>
      <w:r w:rsidRPr="00B822D2">
        <w:rPr>
          <w:rFonts w:ascii="Arial" w:hAnsi="Arial" w:cs="Arial"/>
          <w:bCs/>
          <w:spacing w:val="-3"/>
          <w:sz w:val="22"/>
          <w:szCs w:val="22"/>
        </w:rPr>
        <w:t xml:space="preserve"> requirement to report compliance with these timeframes.</w:t>
      </w:r>
    </w:p>
    <w:p w:rsidR="00B12D33" w:rsidRPr="00B12D33" w:rsidRDefault="00B12D33" w:rsidP="00C07656">
      <w:pPr>
        <w:numPr>
          <w:ilvl w:val="0"/>
          <w:numId w:val="6"/>
        </w:numPr>
        <w:tabs>
          <w:tab w:val="clear" w:pos="720"/>
          <w:tab w:val="num" w:pos="360"/>
        </w:tabs>
        <w:spacing w:before="240"/>
        <w:ind w:left="360"/>
        <w:jc w:val="both"/>
        <w:rPr>
          <w:rFonts w:ascii="Arial" w:hAnsi="Arial" w:cs="Arial"/>
          <w:bCs/>
          <w:spacing w:val="-3"/>
          <w:sz w:val="22"/>
          <w:szCs w:val="22"/>
        </w:rPr>
      </w:pPr>
      <w:r w:rsidRPr="00B822D2">
        <w:rPr>
          <w:rFonts w:ascii="Arial" w:hAnsi="Arial" w:cs="Arial"/>
          <w:bCs/>
          <w:spacing w:val="-3"/>
          <w:sz w:val="22"/>
          <w:szCs w:val="22"/>
        </w:rPr>
        <w:t>There is evidence public report</w:t>
      </w:r>
      <w:r w:rsidR="00AC6B09">
        <w:rPr>
          <w:rFonts w:ascii="Arial" w:hAnsi="Arial" w:cs="Arial"/>
          <w:bCs/>
          <w:spacing w:val="-3"/>
          <w:sz w:val="22"/>
          <w:szCs w:val="22"/>
        </w:rPr>
        <w:t>ing of this information encourages</w:t>
      </w:r>
      <w:r w:rsidRPr="00B822D2">
        <w:rPr>
          <w:rFonts w:ascii="Arial" w:hAnsi="Arial" w:cs="Arial"/>
          <w:bCs/>
          <w:spacing w:val="-3"/>
          <w:sz w:val="22"/>
          <w:szCs w:val="22"/>
        </w:rPr>
        <w:t xml:space="preserve"> State</w:t>
      </w:r>
      <w:r w:rsidR="00014A89">
        <w:rPr>
          <w:rFonts w:ascii="Arial" w:hAnsi="Arial" w:cs="Arial"/>
          <w:bCs/>
          <w:spacing w:val="-3"/>
          <w:sz w:val="22"/>
          <w:szCs w:val="22"/>
        </w:rPr>
        <w:t xml:space="preserve"> agencies</w:t>
      </w:r>
      <w:r w:rsidRPr="00B822D2">
        <w:rPr>
          <w:rFonts w:ascii="Arial" w:hAnsi="Arial" w:cs="Arial"/>
          <w:bCs/>
          <w:spacing w:val="-3"/>
          <w:sz w:val="22"/>
          <w:szCs w:val="22"/>
        </w:rPr>
        <w:t xml:space="preserve">, local governments and applicants to implement changes that improve performance and compliance, and therefore improve the efficiency and timeliness of </w:t>
      </w:r>
      <w:r w:rsidR="00014A89">
        <w:rPr>
          <w:rFonts w:ascii="Arial" w:hAnsi="Arial" w:cs="Arial"/>
          <w:bCs/>
          <w:spacing w:val="-3"/>
          <w:sz w:val="22"/>
          <w:szCs w:val="22"/>
        </w:rPr>
        <w:t>planning</w:t>
      </w:r>
      <w:r w:rsidRPr="00B822D2">
        <w:rPr>
          <w:rFonts w:ascii="Arial" w:hAnsi="Arial" w:cs="Arial"/>
          <w:bCs/>
          <w:spacing w:val="-3"/>
          <w:sz w:val="22"/>
          <w:szCs w:val="22"/>
        </w:rPr>
        <w:t xml:space="preserve"> system</w:t>
      </w:r>
      <w:r w:rsidR="00014A89">
        <w:rPr>
          <w:rFonts w:ascii="Arial" w:hAnsi="Arial" w:cs="Arial"/>
          <w:bCs/>
          <w:spacing w:val="-3"/>
          <w:sz w:val="22"/>
          <w:szCs w:val="22"/>
        </w:rPr>
        <w:t>s</w:t>
      </w:r>
      <w:r w:rsidRPr="00B822D2">
        <w:rPr>
          <w:rFonts w:ascii="Arial" w:hAnsi="Arial" w:cs="Arial"/>
          <w:bCs/>
          <w:spacing w:val="-3"/>
          <w:sz w:val="22"/>
          <w:szCs w:val="22"/>
        </w:rPr>
        <w:t>.</w:t>
      </w:r>
    </w:p>
    <w:p w:rsidR="00BE16BF" w:rsidRDefault="00BE16BF" w:rsidP="00845017">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w:t>
      </w:r>
      <w:r w:rsidR="00845017" w:rsidRPr="00B822D2">
        <w:rPr>
          <w:rFonts w:ascii="Arial" w:hAnsi="Arial" w:cs="Arial"/>
          <w:bCs/>
          <w:spacing w:val="-3"/>
          <w:sz w:val="22"/>
          <w:szCs w:val="22"/>
        </w:rPr>
        <w:t xml:space="preserve"> monitoring </w:t>
      </w:r>
      <w:r>
        <w:rPr>
          <w:rFonts w:ascii="Arial" w:hAnsi="Arial" w:cs="Arial"/>
          <w:bCs/>
          <w:spacing w:val="-3"/>
          <w:sz w:val="22"/>
          <w:szCs w:val="22"/>
        </w:rPr>
        <w:t xml:space="preserve">will </w:t>
      </w:r>
      <w:r w:rsidRPr="00B822D2">
        <w:rPr>
          <w:rFonts w:ascii="Arial" w:hAnsi="Arial" w:cs="Arial"/>
          <w:bCs/>
          <w:spacing w:val="-3"/>
          <w:sz w:val="22"/>
          <w:szCs w:val="22"/>
        </w:rPr>
        <w:t xml:space="preserve">identify and compare local government, State IDAS agencies and applicants’ compliance with IDAS timeframes and other relevant performance information </w:t>
      </w:r>
      <w:r w:rsidR="00F74DBB">
        <w:rPr>
          <w:rFonts w:ascii="Arial" w:hAnsi="Arial" w:cs="Arial"/>
          <w:bCs/>
          <w:spacing w:val="-3"/>
          <w:sz w:val="22"/>
          <w:szCs w:val="22"/>
        </w:rPr>
        <w:t xml:space="preserve"> </w:t>
      </w:r>
      <w:r w:rsidRPr="00B822D2">
        <w:rPr>
          <w:rFonts w:ascii="Arial" w:hAnsi="Arial" w:cs="Arial"/>
          <w:bCs/>
          <w:spacing w:val="-3"/>
          <w:sz w:val="22"/>
          <w:szCs w:val="22"/>
        </w:rPr>
        <w:t>to provide an accurate performa</w:t>
      </w:r>
      <w:r>
        <w:rPr>
          <w:rFonts w:ascii="Arial" w:hAnsi="Arial" w:cs="Arial"/>
          <w:bCs/>
          <w:spacing w:val="-3"/>
          <w:sz w:val="22"/>
          <w:szCs w:val="22"/>
        </w:rPr>
        <w:t>nce picture of the planning system.</w:t>
      </w:r>
    </w:p>
    <w:p w:rsidR="00845017" w:rsidRPr="00CE6FBA" w:rsidRDefault="00845017" w:rsidP="00845017">
      <w:pPr>
        <w:numPr>
          <w:ilvl w:val="0"/>
          <w:numId w:val="6"/>
        </w:numPr>
        <w:tabs>
          <w:tab w:val="clear" w:pos="720"/>
          <w:tab w:val="num" w:pos="360"/>
        </w:tabs>
        <w:spacing w:before="240"/>
        <w:ind w:left="360"/>
        <w:jc w:val="both"/>
        <w:rPr>
          <w:rFonts w:ascii="Arial" w:hAnsi="Arial" w:cs="Arial"/>
          <w:bCs/>
          <w:spacing w:val="-3"/>
          <w:sz w:val="22"/>
          <w:szCs w:val="22"/>
        </w:rPr>
      </w:pPr>
      <w:r w:rsidRPr="00B822D2">
        <w:rPr>
          <w:rFonts w:ascii="Arial" w:hAnsi="Arial" w:cs="Arial"/>
          <w:bCs/>
          <w:spacing w:val="-3"/>
          <w:sz w:val="22"/>
          <w:szCs w:val="22"/>
        </w:rPr>
        <w:t>The reporting system is intended to focus on local government planning scheme triggered applications, including associated state agency referrals.</w:t>
      </w:r>
    </w:p>
    <w:p w:rsidR="00B12D33" w:rsidRPr="00B822D2" w:rsidRDefault="00B12D33" w:rsidP="00845017">
      <w:pPr>
        <w:numPr>
          <w:ilvl w:val="0"/>
          <w:numId w:val="6"/>
        </w:numPr>
        <w:tabs>
          <w:tab w:val="clear" w:pos="720"/>
          <w:tab w:val="num" w:pos="360"/>
        </w:tabs>
        <w:spacing w:before="240"/>
        <w:ind w:left="360"/>
        <w:jc w:val="both"/>
        <w:rPr>
          <w:rFonts w:ascii="Arial" w:hAnsi="Arial" w:cs="Arial"/>
          <w:bCs/>
          <w:spacing w:val="-3"/>
          <w:sz w:val="22"/>
          <w:szCs w:val="22"/>
        </w:rPr>
      </w:pPr>
      <w:r w:rsidRPr="00B822D2">
        <w:rPr>
          <w:rFonts w:ascii="Arial" w:hAnsi="Arial" w:cs="Arial"/>
          <w:bCs/>
          <w:spacing w:val="-3"/>
          <w:sz w:val="22"/>
          <w:szCs w:val="22"/>
        </w:rPr>
        <w:t xml:space="preserve">Applications required by local government planning schemes </w:t>
      </w:r>
      <w:r w:rsidR="00481BE7" w:rsidRPr="00B822D2">
        <w:rPr>
          <w:rFonts w:ascii="Arial" w:hAnsi="Arial" w:cs="Arial"/>
          <w:bCs/>
          <w:spacing w:val="-3"/>
          <w:sz w:val="22"/>
          <w:szCs w:val="22"/>
        </w:rPr>
        <w:t xml:space="preserve">deal with a </w:t>
      </w:r>
      <w:r w:rsidR="00481BE7">
        <w:rPr>
          <w:rFonts w:ascii="Arial" w:hAnsi="Arial" w:cs="Arial"/>
          <w:bCs/>
          <w:spacing w:val="-3"/>
          <w:sz w:val="22"/>
          <w:szCs w:val="22"/>
        </w:rPr>
        <w:t>wide</w:t>
      </w:r>
      <w:r w:rsidR="00481BE7" w:rsidRPr="00B822D2">
        <w:rPr>
          <w:rFonts w:ascii="Arial" w:hAnsi="Arial" w:cs="Arial"/>
          <w:bCs/>
          <w:spacing w:val="-3"/>
          <w:sz w:val="22"/>
          <w:szCs w:val="22"/>
        </w:rPr>
        <w:t xml:space="preserve"> range of matters extending from simple changes of land </w:t>
      </w:r>
      <w:r w:rsidR="00481BE7">
        <w:rPr>
          <w:rFonts w:ascii="Arial" w:hAnsi="Arial" w:cs="Arial"/>
          <w:bCs/>
          <w:spacing w:val="-3"/>
          <w:sz w:val="22"/>
          <w:szCs w:val="22"/>
        </w:rPr>
        <w:t>use and</w:t>
      </w:r>
      <w:r w:rsidR="00481BE7" w:rsidRPr="00B822D2">
        <w:rPr>
          <w:rFonts w:ascii="Arial" w:hAnsi="Arial" w:cs="Arial"/>
          <w:bCs/>
          <w:spacing w:val="-3"/>
          <w:sz w:val="22"/>
          <w:szCs w:val="22"/>
        </w:rPr>
        <w:t xml:space="preserve"> land subdivision to very large and complex development proposals </w:t>
      </w:r>
      <w:r w:rsidR="00845017" w:rsidRPr="00B822D2">
        <w:rPr>
          <w:rFonts w:ascii="Arial" w:hAnsi="Arial" w:cs="Arial"/>
          <w:bCs/>
          <w:spacing w:val="-3"/>
          <w:sz w:val="22"/>
          <w:szCs w:val="22"/>
        </w:rPr>
        <w:t>such as construction works involved in creating subdivision estates</w:t>
      </w:r>
      <w:r w:rsidR="00845017">
        <w:rPr>
          <w:rFonts w:ascii="Arial" w:hAnsi="Arial" w:cs="Arial"/>
          <w:bCs/>
          <w:spacing w:val="-3"/>
          <w:sz w:val="22"/>
          <w:szCs w:val="22"/>
        </w:rPr>
        <w:t xml:space="preserve">. </w:t>
      </w:r>
      <w:r w:rsidRPr="00B822D2">
        <w:rPr>
          <w:rFonts w:ascii="Arial" w:hAnsi="Arial" w:cs="Arial"/>
          <w:bCs/>
          <w:spacing w:val="-3"/>
          <w:sz w:val="22"/>
          <w:szCs w:val="22"/>
        </w:rPr>
        <w:t>In addition, there are a range of development matters of State interest (e.g. clearing of remnant vegetation, main roads issues, State heritage protection) that are dealt with in combination with either planning scheme or building applications, or separately as stand alone IDAS applications.</w:t>
      </w:r>
    </w:p>
    <w:p w:rsidR="0097342F" w:rsidRPr="00265D02" w:rsidRDefault="007A1B40" w:rsidP="0097342F">
      <w:pPr>
        <w:numPr>
          <w:ilvl w:val="0"/>
          <w:numId w:val="6"/>
        </w:numPr>
        <w:tabs>
          <w:tab w:val="clear" w:pos="720"/>
          <w:tab w:val="num" w:pos="360"/>
        </w:tabs>
        <w:spacing w:before="240"/>
        <w:ind w:left="360"/>
        <w:jc w:val="both"/>
        <w:rPr>
          <w:rFonts w:ascii="Arial" w:hAnsi="Arial" w:cs="Arial"/>
          <w:bCs/>
          <w:spacing w:val="-3"/>
          <w:sz w:val="22"/>
          <w:szCs w:val="22"/>
        </w:rPr>
      </w:pPr>
      <w:r w:rsidRPr="00265D02">
        <w:rPr>
          <w:rFonts w:ascii="Arial" w:hAnsi="Arial" w:cs="Arial"/>
          <w:bCs/>
          <w:spacing w:val="-3"/>
          <w:sz w:val="22"/>
          <w:szCs w:val="22"/>
          <w:u w:val="single"/>
        </w:rPr>
        <w:t>Cabinet endorsed</w:t>
      </w:r>
      <w:r w:rsidRPr="00265D02">
        <w:rPr>
          <w:rFonts w:ascii="Arial" w:hAnsi="Arial" w:cs="Arial"/>
          <w:bCs/>
          <w:spacing w:val="-3"/>
          <w:sz w:val="22"/>
          <w:szCs w:val="22"/>
        </w:rPr>
        <w:t xml:space="preserve"> work with a pilot group of Councils and State agencies to guide the scope and design of the first annual report for high growth councils</w:t>
      </w:r>
      <w:r w:rsidR="0097342F" w:rsidRPr="00265D02">
        <w:rPr>
          <w:rFonts w:ascii="Arial" w:hAnsi="Arial" w:cs="Arial"/>
          <w:bCs/>
          <w:spacing w:val="-3"/>
          <w:sz w:val="22"/>
          <w:szCs w:val="22"/>
        </w:rPr>
        <w:t>.</w:t>
      </w:r>
    </w:p>
    <w:p w:rsidR="007A1B40" w:rsidRDefault="007A1B40" w:rsidP="0097342F">
      <w:pPr>
        <w:numPr>
          <w:ilvl w:val="0"/>
          <w:numId w:val="6"/>
        </w:numPr>
        <w:tabs>
          <w:tab w:val="clear" w:pos="720"/>
          <w:tab w:val="num" w:pos="360"/>
        </w:tabs>
        <w:spacing w:before="240"/>
        <w:ind w:left="360"/>
        <w:jc w:val="both"/>
        <w:rPr>
          <w:rFonts w:ascii="Arial" w:hAnsi="Arial" w:cs="Arial"/>
          <w:bCs/>
          <w:spacing w:val="-3"/>
          <w:sz w:val="22"/>
          <w:szCs w:val="22"/>
        </w:rPr>
      </w:pPr>
      <w:r w:rsidRPr="00265D02">
        <w:rPr>
          <w:rFonts w:ascii="Arial" w:hAnsi="Arial" w:cs="Arial"/>
          <w:bCs/>
          <w:spacing w:val="-3"/>
          <w:sz w:val="22"/>
          <w:szCs w:val="22"/>
          <w:u w:val="single"/>
        </w:rPr>
        <w:t>Cabinet approved</w:t>
      </w:r>
      <w:r w:rsidRPr="00265D02">
        <w:rPr>
          <w:rFonts w:ascii="Arial" w:hAnsi="Arial" w:cs="Arial"/>
          <w:bCs/>
          <w:spacing w:val="-3"/>
          <w:sz w:val="22"/>
          <w:szCs w:val="22"/>
        </w:rPr>
        <w:t xml:space="preserve"> the inclusion of relevant provisions in the new Planning Bill as part of planning reform mandating the collection of prescribed performance reporting data by local governments and State IDAS agencies for analysis and publishing in an annual performance report.</w:t>
      </w:r>
    </w:p>
    <w:p w:rsidR="00E80134" w:rsidRPr="00E80134" w:rsidRDefault="00E80134" w:rsidP="0097342F">
      <w:pPr>
        <w:numPr>
          <w:ilvl w:val="0"/>
          <w:numId w:val="6"/>
        </w:numPr>
        <w:tabs>
          <w:tab w:val="clear" w:pos="720"/>
          <w:tab w:val="num" w:pos="360"/>
        </w:tabs>
        <w:spacing w:before="240"/>
        <w:ind w:left="360"/>
        <w:jc w:val="both"/>
        <w:rPr>
          <w:rFonts w:ascii="Arial" w:hAnsi="Arial" w:cs="Arial"/>
          <w:bCs/>
          <w:spacing w:val="-3"/>
          <w:sz w:val="22"/>
          <w:szCs w:val="22"/>
          <w:u w:val="single"/>
        </w:rPr>
      </w:pPr>
      <w:r w:rsidRPr="00E80134">
        <w:rPr>
          <w:rFonts w:ascii="Arial" w:hAnsi="Arial" w:cs="Arial"/>
          <w:bCs/>
          <w:i/>
          <w:spacing w:val="-3"/>
          <w:sz w:val="22"/>
          <w:szCs w:val="22"/>
          <w:u w:val="single"/>
        </w:rPr>
        <w:t>Attachments</w:t>
      </w:r>
    </w:p>
    <w:p w:rsidR="000B545C" w:rsidRPr="00D63C10" w:rsidRDefault="00E80134" w:rsidP="004F5BFA">
      <w:pPr>
        <w:numPr>
          <w:ilvl w:val="0"/>
          <w:numId w:val="17"/>
        </w:numPr>
        <w:spacing w:before="240"/>
        <w:jc w:val="both"/>
        <w:rPr>
          <w:rFonts w:ascii="Arial" w:hAnsi="Arial" w:cs="Arial"/>
          <w:bCs/>
          <w:spacing w:val="-3"/>
          <w:sz w:val="22"/>
          <w:szCs w:val="22"/>
        </w:rPr>
      </w:pPr>
      <w:r w:rsidRPr="00D63C10">
        <w:rPr>
          <w:rFonts w:ascii="Arial" w:hAnsi="Arial" w:cs="Arial"/>
          <w:bCs/>
          <w:spacing w:val="-3"/>
          <w:sz w:val="22"/>
          <w:szCs w:val="22"/>
        </w:rPr>
        <w:t>Nil.</w:t>
      </w:r>
    </w:p>
    <w:sectPr w:rsidR="000B545C" w:rsidRPr="00D63C10" w:rsidSect="007D3B9D">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01" w:rsidRDefault="002E3701">
      <w:r>
        <w:separator/>
      </w:r>
    </w:p>
  </w:endnote>
  <w:endnote w:type="continuationSeparator" w:id="0">
    <w:p w:rsidR="002E3701" w:rsidRDefault="002E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Chancery">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F" w:rsidRDefault="008C4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5E" w:rsidRPr="001141E1" w:rsidRDefault="002F025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F" w:rsidRDefault="008C4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01" w:rsidRDefault="002E3701">
      <w:r>
        <w:separator/>
      </w:r>
    </w:p>
  </w:footnote>
  <w:footnote w:type="continuationSeparator" w:id="0">
    <w:p w:rsidR="002E3701" w:rsidRDefault="002E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F" w:rsidRDefault="008C4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5E" w:rsidRPr="000400F9" w:rsidRDefault="004437C0"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2F025E" w:rsidRPr="000400F9">
      <w:rPr>
        <w:rFonts w:ascii="Arial" w:hAnsi="Arial" w:cs="Arial"/>
        <w:b/>
        <w:sz w:val="22"/>
        <w:szCs w:val="22"/>
        <w:u w:val="single"/>
      </w:rPr>
      <w:t>Cabine</w:t>
    </w:r>
    <w:r w:rsidR="002F025E" w:rsidRPr="00D63C10">
      <w:rPr>
        <w:rFonts w:ascii="Arial" w:hAnsi="Arial" w:cs="Arial"/>
        <w:b/>
        <w:sz w:val="22"/>
        <w:szCs w:val="22"/>
        <w:u w:val="single"/>
      </w:rPr>
      <w:t>t – February 2009</w:t>
    </w:r>
  </w:p>
  <w:p w:rsidR="002F025E" w:rsidRPr="008C495F" w:rsidRDefault="002F025E" w:rsidP="00B12D33">
    <w:pPr>
      <w:keepLines/>
      <w:spacing w:before="120"/>
      <w:ind w:left="2340" w:hanging="2340"/>
      <w:jc w:val="both"/>
      <w:rPr>
        <w:rFonts w:ascii="Arial" w:hAnsi="Arial" w:cs="Arial"/>
        <w:b/>
        <w:sz w:val="22"/>
        <w:szCs w:val="22"/>
        <w:u w:val="single"/>
      </w:rPr>
    </w:pPr>
    <w:r w:rsidRPr="008C495F">
      <w:rPr>
        <w:rFonts w:ascii="Arial" w:hAnsi="Arial" w:cs="Arial"/>
        <w:b/>
        <w:sz w:val="22"/>
        <w:szCs w:val="22"/>
        <w:u w:val="single"/>
      </w:rPr>
      <w:t>Development Assessment Monitoring and Performance Action Plan</w:t>
    </w:r>
  </w:p>
  <w:p w:rsidR="002F025E" w:rsidRPr="008C495F" w:rsidRDefault="002F025E" w:rsidP="008C495F">
    <w:pPr>
      <w:keepLines/>
      <w:spacing w:before="120"/>
      <w:rPr>
        <w:rFonts w:ascii="Arial" w:hAnsi="Arial" w:cs="Arial"/>
        <w:b/>
        <w:sz w:val="22"/>
        <w:szCs w:val="22"/>
        <w:u w:val="single"/>
      </w:rPr>
    </w:pPr>
    <w:r w:rsidRPr="008C495F">
      <w:rPr>
        <w:rFonts w:ascii="Arial" w:hAnsi="Arial" w:cs="Arial"/>
        <w:b/>
        <w:sz w:val="22"/>
        <w:szCs w:val="22"/>
        <w:u w:val="single"/>
      </w:rPr>
      <w:t>Deputy Premier and Minister for Infrastructure and Planning</w:t>
    </w:r>
    <w:r w:rsidR="008C495F">
      <w:rPr>
        <w:rFonts w:ascii="Arial" w:hAnsi="Arial" w:cs="Arial"/>
        <w:b/>
        <w:sz w:val="22"/>
        <w:szCs w:val="22"/>
        <w:u w:val="single"/>
      </w:rPr>
      <w:br/>
    </w:r>
    <w:r w:rsidRPr="008C495F">
      <w:rPr>
        <w:rFonts w:ascii="Arial" w:hAnsi="Arial" w:cs="Arial"/>
        <w:b/>
        <w:sz w:val="22"/>
        <w:szCs w:val="22"/>
        <w:u w:val="single"/>
      </w:rPr>
      <w:t>Minister for Main Roads and Local Government</w:t>
    </w:r>
  </w:p>
  <w:p w:rsidR="002F025E" w:rsidRPr="00F10DF9" w:rsidRDefault="002F025E" w:rsidP="00F10DF9">
    <w:pPr>
      <w:pStyle w:val="Header"/>
      <w:pBdr>
        <w:bottom w:val="single" w:sz="8" w:space="1" w:color="auto"/>
      </w:pBdr>
      <w:spacing w:line="180" w:lineRule="exac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F" w:rsidRDefault="008C4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4D4C"/>
    <w:multiLevelType w:val="multilevel"/>
    <w:tmpl w:val="F738A89E"/>
    <w:lvl w:ilvl="0">
      <w:start w:val="147"/>
      <w:numFmt w:val="bullet"/>
      <w:lvlText w:val="-"/>
      <w:lvlJc w:val="left"/>
      <w:pPr>
        <w:tabs>
          <w:tab w:val="num" w:pos="720"/>
        </w:tabs>
        <w:ind w:left="720" w:hanging="360"/>
      </w:pPr>
      <w:rPr>
        <w:rFonts w:ascii="ZapfChancery" w:hAnsi="ZapfChancery" w:hint="default"/>
        <w:b w:val="0"/>
        <w:i/>
        <w:color w:val="auto"/>
        <w:sz w:val="24"/>
        <w:szCs w:val="9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BF5C6B"/>
    <w:multiLevelType w:val="hybridMultilevel"/>
    <w:tmpl w:val="8940F0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C118A9"/>
    <w:multiLevelType w:val="hybridMultilevel"/>
    <w:tmpl w:val="680A9E7A"/>
    <w:lvl w:ilvl="0" w:tplc="DBECAE26">
      <w:start w:val="1"/>
      <w:numFmt w:val="bullet"/>
      <w:lvlText w:val=""/>
      <w:lvlJc w:val="left"/>
      <w:pPr>
        <w:tabs>
          <w:tab w:val="num" w:pos="644"/>
        </w:tabs>
        <w:ind w:left="644" w:hanging="284"/>
      </w:pPr>
      <w:rPr>
        <w:rFonts w:ascii="Symbol" w:hAnsi="Symbol" w:hint="default"/>
        <w:b w:val="0"/>
        <w:i/>
        <w:color w:val="auto"/>
        <w:sz w:val="16"/>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34709D"/>
    <w:multiLevelType w:val="hybridMultilevel"/>
    <w:tmpl w:val="F738A89E"/>
    <w:lvl w:ilvl="0" w:tplc="CEE49F0A">
      <w:start w:val="147"/>
      <w:numFmt w:val="bullet"/>
      <w:lvlText w:val="-"/>
      <w:lvlJc w:val="left"/>
      <w:pPr>
        <w:tabs>
          <w:tab w:val="num" w:pos="720"/>
        </w:tabs>
        <w:ind w:left="720" w:hanging="360"/>
      </w:pPr>
      <w:rPr>
        <w:rFonts w:ascii="ZapfChancery" w:hAnsi="ZapfChancery" w:hint="default"/>
        <w:b w:val="0"/>
        <w:i/>
        <w:color w:val="auto"/>
        <w:sz w:val="24"/>
        <w:szCs w:val="9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BE4382"/>
    <w:multiLevelType w:val="hybridMultilevel"/>
    <w:tmpl w:val="1CDA3058"/>
    <w:lvl w:ilvl="0" w:tplc="2F7C1F82">
      <w:start w:val="1"/>
      <w:numFmt w:val="decimal"/>
      <w:lvlText w:val="%1."/>
      <w:lvlJc w:val="left"/>
      <w:pPr>
        <w:tabs>
          <w:tab w:val="num" w:pos="360"/>
        </w:tabs>
        <w:ind w:left="360" w:hanging="360"/>
      </w:pPr>
      <w:rPr>
        <w:b w:val="0"/>
      </w:rPr>
    </w:lvl>
    <w:lvl w:ilvl="1" w:tplc="0C090001">
      <w:start w:val="1"/>
      <w:numFmt w:val="bullet"/>
      <w:lvlText w:val=""/>
      <w:lvlJc w:val="left"/>
      <w:pPr>
        <w:tabs>
          <w:tab w:val="num" w:pos="1080"/>
        </w:tabs>
        <w:ind w:left="1080" w:hanging="360"/>
      </w:pPr>
      <w:rPr>
        <w:rFonts w:ascii="Symbol" w:hAnsi="Symbol" w:hint="default"/>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4"/>
  </w:num>
  <w:num w:numId="4">
    <w:abstractNumId w:val="6"/>
  </w:num>
  <w:num w:numId="5">
    <w:abstractNumId w:val="4"/>
  </w:num>
  <w:num w:numId="6">
    <w:abstractNumId w:val="16"/>
  </w:num>
  <w:num w:numId="7">
    <w:abstractNumId w:val="15"/>
  </w:num>
  <w:num w:numId="8">
    <w:abstractNumId w:val="13"/>
  </w:num>
  <w:num w:numId="9">
    <w:abstractNumId w:val="11"/>
  </w:num>
  <w:num w:numId="10">
    <w:abstractNumId w:val="8"/>
  </w:num>
  <w:num w:numId="11">
    <w:abstractNumId w:val="7"/>
  </w:num>
  <w:num w:numId="12">
    <w:abstractNumId w:val="12"/>
  </w:num>
  <w:num w:numId="13">
    <w:abstractNumId w:val="5"/>
  </w:num>
  <w:num w:numId="14">
    <w:abstractNumId w:val="1"/>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4"/>
    <w:rsid w:val="00014A89"/>
    <w:rsid w:val="00021B34"/>
    <w:rsid w:val="00021BBB"/>
    <w:rsid w:val="000400F9"/>
    <w:rsid w:val="000B545C"/>
    <w:rsid w:val="000C27FD"/>
    <w:rsid w:val="001141E1"/>
    <w:rsid w:val="00133013"/>
    <w:rsid w:val="00133A34"/>
    <w:rsid w:val="00160524"/>
    <w:rsid w:val="001F246E"/>
    <w:rsid w:val="00200F25"/>
    <w:rsid w:val="00254E35"/>
    <w:rsid w:val="00265D02"/>
    <w:rsid w:val="00273EF1"/>
    <w:rsid w:val="0028053C"/>
    <w:rsid w:val="002E3701"/>
    <w:rsid w:val="002F025E"/>
    <w:rsid w:val="002F2614"/>
    <w:rsid w:val="002F57E4"/>
    <w:rsid w:val="00314FEB"/>
    <w:rsid w:val="0032048B"/>
    <w:rsid w:val="00326FF5"/>
    <w:rsid w:val="00346156"/>
    <w:rsid w:val="00382380"/>
    <w:rsid w:val="00395063"/>
    <w:rsid w:val="003A269C"/>
    <w:rsid w:val="003A2AB2"/>
    <w:rsid w:val="003A2E0F"/>
    <w:rsid w:val="003C3732"/>
    <w:rsid w:val="00402906"/>
    <w:rsid w:val="00435BE5"/>
    <w:rsid w:val="004437C0"/>
    <w:rsid w:val="0048019C"/>
    <w:rsid w:val="00481BE7"/>
    <w:rsid w:val="00486A99"/>
    <w:rsid w:val="004B18DB"/>
    <w:rsid w:val="004E6C38"/>
    <w:rsid w:val="004F5BFA"/>
    <w:rsid w:val="00562AE4"/>
    <w:rsid w:val="0056401D"/>
    <w:rsid w:val="005B1D9B"/>
    <w:rsid w:val="005C224F"/>
    <w:rsid w:val="005F521D"/>
    <w:rsid w:val="006100CC"/>
    <w:rsid w:val="00644076"/>
    <w:rsid w:val="006631CF"/>
    <w:rsid w:val="00682036"/>
    <w:rsid w:val="006B3B54"/>
    <w:rsid w:val="006D0869"/>
    <w:rsid w:val="006E6713"/>
    <w:rsid w:val="007060D7"/>
    <w:rsid w:val="00710AAE"/>
    <w:rsid w:val="007150D8"/>
    <w:rsid w:val="00726F36"/>
    <w:rsid w:val="00796658"/>
    <w:rsid w:val="00796B3E"/>
    <w:rsid w:val="007A1B40"/>
    <w:rsid w:val="007A25F4"/>
    <w:rsid w:val="007A6599"/>
    <w:rsid w:val="007D3B9D"/>
    <w:rsid w:val="007F394F"/>
    <w:rsid w:val="007F4603"/>
    <w:rsid w:val="007F52D6"/>
    <w:rsid w:val="0082040E"/>
    <w:rsid w:val="00845017"/>
    <w:rsid w:val="00845D3E"/>
    <w:rsid w:val="008A5F1B"/>
    <w:rsid w:val="008B7E17"/>
    <w:rsid w:val="008C3732"/>
    <w:rsid w:val="008C495F"/>
    <w:rsid w:val="008F44CD"/>
    <w:rsid w:val="00922A5B"/>
    <w:rsid w:val="009479E4"/>
    <w:rsid w:val="0097342F"/>
    <w:rsid w:val="009D0C12"/>
    <w:rsid w:val="009F5476"/>
    <w:rsid w:val="00A20C0E"/>
    <w:rsid w:val="00A30F55"/>
    <w:rsid w:val="00A354FF"/>
    <w:rsid w:val="00A527A5"/>
    <w:rsid w:val="00AA128C"/>
    <w:rsid w:val="00AB6637"/>
    <w:rsid w:val="00AC6B09"/>
    <w:rsid w:val="00AE1995"/>
    <w:rsid w:val="00B056A0"/>
    <w:rsid w:val="00B12D33"/>
    <w:rsid w:val="00B40BDF"/>
    <w:rsid w:val="00B714B6"/>
    <w:rsid w:val="00B822D2"/>
    <w:rsid w:val="00BE16BF"/>
    <w:rsid w:val="00C07656"/>
    <w:rsid w:val="00C32036"/>
    <w:rsid w:val="00C805EC"/>
    <w:rsid w:val="00C844B0"/>
    <w:rsid w:val="00C85B71"/>
    <w:rsid w:val="00CA2EDD"/>
    <w:rsid w:val="00CE6FBA"/>
    <w:rsid w:val="00D54601"/>
    <w:rsid w:val="00D63C10"/>
    <w:rsid w:val="00D83A5D"/>
    <w:rsid w:val="00DD3CD5"/>
    <w:rsid w:val="00DD497C"/>
    <w:rsid w:val="00DF00E3"/>
    <w:rsid w:val="00DF4650"/>
    <w:rsid w:val="00E07046"/>
    <w:rsid w:val="00E203AB"/>
    <w:rsid w:val="00E463C2"/>
    <w:rsid w:val="00E7203A"/>
    <w:rsid w:val="00E80134"/>
    <w:rsid w:val="00EA00BF"/>
    <w:rsid w:val="00EB08D0"/>
    <w:rsid w:val="00F10DF9"/>
    <w:rsid w:val="00F41FF5"/>
    <w:rsid w:val="00F74DBB"/>
    <w:rsid w:val="00F756F8"/>
    <w:rsid w:val="00FB54A6"/>
    <w:rsid w:val="00FD3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j.DIP\Local%20Settings\Temporary%20Internet%20Files\OLK14\Decision%20Summary%20Template%20v1%20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v1 1 (2).dot</Template>
  <TotalTime>0</TotalTime>
  <Pages>1</Pages>
  <Words>293</Words>
  <Characters>1746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CharactersWithSpaces>
  <SharedDoc>false</SharedDoc>
  <HyperlinkBase>https://www.cabinet.qld.gov.au/documents/2009/Feb/Development Assessment Monitoring and Performance Action Plan/</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2009-01-29T03:07:00Z</cp:lastPrinted>
  <dcterms:created xsi:type="dcterms:W3CDTF">2017-10-24T21:59:00Z</dcterms:created>
  <dcterms:modified xsi:type="dcterms:W3CDTF">2018-03-06T00:56:00Z</dcterms:modified>
  <cp:category>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-554206296</vt:i4>
  </property>
  <property fmtid="{D5CDD505-2E9C-101B-9397-08002B2CF9AE}" pid="3" name="_NewReviewCycle">
    <vt:lpwstr/>
  </property>
  <property fmtid="{D5CDD505-2E9C-101B-9397-08002B2CF9AE}" pid="4" name="_ReviewingToolsShownOnce">
    <vt:lpwstr/>
  </property>
</Properties>
</file>